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2BD2" w14:textId="5A01AD3C" w:rsidR="00F57D35" w:rsidRDefault="006E029B" w:rsidP="00F57D35">
      <w:pPr>
        <w:rPr>
          <w:rFonts w:ascii="Footlight MT Light" w:eastAsia="Calibri" w:hAnsi="Footlight MT Light" w:cs="Times New Roman"/>
          <w:b/>
          <w:sz w:val="52"/>
          <w:szCs w:val="52"/>
        </w:rPr>
      </w:pPr>
      <w:r w:rsidRPr="006E029B">
        <w:rPr>
          <w:rFonts w:ascii="Footlight MT Light" w:eastAsia="Calibri" w:hAnsi="Footlight MT Light" w:cs="Times New Roman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5FB9B5" wp14:editId="7BF50F15">
                <wp:simplePos x="0" y="0"/>
                <wp:positionH relativeFrom="margin">
                  <wp:posOffset>2065020</wp:posOffset>
                </wp:positionH>
                <wp:positionV relativeFrom="paragraph">
                  <wp:posOffset>0</wp:posOffset>
                </wp:positionV>
                <wp:extent cx="4594860" cy="23241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59EF5" w14:textId="3C1E2B03" w:rsidR="006E029B" w:rsidRDefault="002B010A" w:rsidP="00DD7B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Severe Weather</w:t>
                            </w:r>
                            <w:r w:rsidR="006E029B" w:rsidRPr="00704EC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Regional Tabletop Exercise</w:t>
                            </w:r>
                          </w:p>
                          <w:p w14:paraId="1657602D" w14:textId="77777777" w:rsidR="00AA4974" w:rsidRPr="00AA4974" w:rsidRDefault="00AA4974" w:rsidP="00AA497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49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This discussion-based exercise focuses on Region B healthcare facilities’ and community partners’ ability to respond to a regional severe weather event.  This will include reviewing local and regional response plans, as well as, engaging in discussion to address potential gaps that may exist.</w:t>
                            </w:r>
                          </w:p>
                          <w:p w14:paraId="46F3663E" w14:textId="7EDD7313" w:rsidR="00DD7B55" w:rsidRPr="00DD7B55" w:rsidRDefault="00DD7B5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D7B5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This is a virtual exercise with all healthcare </w:t>
                            </w:r>
                            <w:r w:rsidR="00AA49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facilities </w:t>
                            </w:r>
                            <w:r w:rsidRPr="00DD7B5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participating from various locations</w:t>
                            </w:r>
                            <w:r w:rsidR="00AA49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FB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6pt;margin-top:0;width:361.8pt;height:18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">
                <v:textbox>
                  <w:txbxContent>
                    <w:p w14:paraId="2BD59EF5" w14:textId="3C1E2B03" w:rsidR="006E029B" w:rsidRDefault="002B010A" w:rsidP="00DD7B5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Severe Weather</w:t>
                      </w:r>
                      <w:r w:rsidR="006E029B" w:rsidRPr="00704EC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Regional Tabletop Exercise</w:t>
                      </w:r>
                    </w:p>
                    <w:p w14:paraId="1657602D" w14:textId="77777777" w:rsidR="00AA4974" w:rsidRPr="00AA4974" w:rsidRDefault="00AA4974" w:rsidP="00AA497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4974">
                        <w:rPr>
                          <w:rFonts w:ascii="Arial" w:hAnsi="Arial" w:cs="Arial"/>
                          <w:sz w:val="28"/>
                          <w:szCs w:val="28"/>
                        </w:rPr>
                        <w:t>This discussion-based exercise focuses on Region B healthcare facilities’ and community partners’ ability to respond to a regional severe weather event.  This will include reviewing local and regional response plans, as well as, engaging in discussion to address potential gaps that may exist.</w:t>
                      </w:r>
                    </w:p>
                    <w:p w14:paraId="46F3663E" w14:textId="7EDD7313" w:rsidR="00DD7B55" w:rsidRPr="00DD7B55" w:rsidRDefault="00DD7B5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D7B5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This is a virtual exercise with all healthcare </w:t>
                      </w:r>
                      <w:r w:rsidR="00AA497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facilities </w:t>
                      </w:r>
                      <w:r w:rsidRPr="00DD7B55">
                        <w:rPr>
                          <w:rFonts w:ascii="Arial" w:hAnsi="Arial" w:cs="Arial"/>
                          <w:sz w:val="28"/>
                          <w:szCs w:val="28"/>
                        </w:rPr>
                        <w:t>participating from various locations</w:t>
                      </w:r>
                      <w:r w:rsidR="00AA4974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7D35" w:rsidRPr="00F57D35">
        <w:rPr>
          <w:rFonts w:ascii="Footlight MT Light" w:eastAsia="Calibri" w:hAnsi="Footlight MT Light" w:cs="Times New Roman"/>
          <w:b/>
          <w:sz w:val="52"/>
          <w:szCs w:val="52"/>
        </w:rPr>
        <w:t xml:space="preserve"> </w:t>
      </w:r>
      <w:r w:rsidR="00FF6B55">
        <w:rPr>
          <w:noProof/>
        </w:rPr>
        <w:drawing>
          <wp:inline distT="0" distB="0" distL="0" distR="0" wp14:anchorId="2A27BB66" wp14:editId="7C174F56">
            <wp:extent cx="1799590" cy="15316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932" cy="159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FEF8" w14:textId="1B24764C" w:rsidR="00F57D35" w:rsidRPr="00F57D35" w:rsidRDefault="00F57D35" w:rsidP="00F57D35">
      <w:pPr>
        <w:jc w:val="center"/>
        <w:rPr>
          <w:rFonts w:ascii="Footlight MT Light" w:eastAsia="Calibri" w:hAnsi="Footlight MT Light" w:cs="Times New Roman"/>
          <w:b/>
          <w:sz w:val="52"/>
          <w:szCs w:val="52"/>
        </w:rPr>
      </w:pPr>
      <w:r>
        <w:rPr>
          <w:rFonts w:ascii="Footlight MT Light" w:eastAsia="Calibri" w:hAnsi="Footlight MT Light" w:cs="Times New Roman"/>
          <w:b/>
          <w:sz w:val="52"/>
          <w:szCs w:val="52"/>
        </w:rPr>
        <w:t xml:space="preserve">         </w:t>
      </w:r>
    </w:p>
    <w:p w14:paraId="23ACB845" w14:textId="77777777" w:rsidR="00F958B3" w:rsidRDefault="00F958B3" w:rsidP="00F57D35">
      <w:pPr>
        <w:spacing w:after="0" w:line="240" w:lineRule="auto"/>
        <w:rPr>
          <w:rFonts w:ascii="Footlight MT Light" w:eastAsia="Calibri" w:hAnsi="Footlight MT Light" w:cs="Times New Roman"/>
          <w:b/>
          <w:sz w:val="32"/>
          <w:szCs w:val="32"/>
          <w:u w:val="single"/>
        </w:rPr>
      </w:pPr>
    </w:p>
    <w:p w14:paraId="45A804CE" w14:textId="77777777" w:rsidR="00DC4AA3" w:rsidRDefault="00DC4AA3" w:rsidP="00F57D35">
      <w:pPr>
        <w:spacing w:after="0" w:line="240" w:lineRule="auto"/>
        <w:rPr>
          <w:rFonts w:ascii="Footlight MT Light" w:eastAsia="Calibri" w:hAnsi="Footlight MT Light" w:cs="Times New Roman"/>
          <w:b/>
          <w:sz w:val="32"/>
          <w:szCs w:val="32"/>
          <w:u w:val="single"/>
        </w:rPr>
      </w:pPr>
    </w:p>
    <w:p w14:paraId="2C9D571F" w14:textId="03509670" w:rsidR="00F57D35" w:rsidRPr="00F958B3" w:rsidRDefault="00F57D35" w:rsidP="00F57D35">
      <w:pPr>
        <w:spacing w:after="0" w:line="240" w:lineRule="auto"/>
        <w:rPr>
          <w:rFonts w:ascii="Footlight MT Light" w:eastAsia="Calibri" w:hAnsi="Footlight MT Light" w:cs="Times New Roman"/>
          <w:b/>
          <w:sz w:val="32"/>
          <w:szCs w:val="32"/>
        </w:rPr>
      </w:pPr>
      <w:r w:rsidRPr="00F958B3">
        <w:rPr>
          <w:rFonts w:ascii="Footlight MT Light" w:eastAsia="Calibri" w:hAnsi="Footlight MT Light" w:cs="Times New Roman"/>
          <w:b/>
          <w:sz w:val="32"/>
          <w:szCs w:val="32"/>
          <w:u w:val="single"/>
        </w:rPr>
        <w:t>Who:</w:t>
      </w:r>
      <w:r w:rsidRPr="00F958B3">
        <w:rPr>
          <w:rFonts w:ascii="Footlight MT Light" w:eastAsia="Calibri" w:hAnsi="Footlight MT Light" w:cs="Times New Roman"/>
          <w:b/>
          <w:sz w:val="32"/>
          <w:szCs w:val="32"/>
        </w:rPr>
        <w:t xml:space="preserve"> </w:t>
      </w:r>
      <w:r w:rsidR="00DD7B55" w:rsidRPr="00F958B3">
        <w:rPr>
          <w:rFonts w:ascii="Footlight MT Light" w:eastAsia="Calibri" w:hAnsi="Footlight MT Light" w:cs="Times New Roman"/>
          <w:b/>
          <w:sz w:val="32"/>
          <w:szCs w:val="32"/>
        </w:rPr>
        <w:t xml:space="preserve">Georgia Mountains </w:t>
      </w:r>
      <w:r w:rsidR="00D85FD7" w:rsidRPr="00F958B3">
        <w:rPr>
          <w:rFonts w:ascii="Footlight MT Light" w:eastAsia="Calibri" w:hAnsi="Footlight MT Light" w:cs="Times New Roman"/>
          <w:b/>
          <w:sz w:val="32"/>
          <w:szCs w:val="32"/>
        </w:rPr>
        <w:t>Healthcare</w:t>
      </w:r>
      <w:r w:rsidR="00DD7B55" w:rsidRPr="00F958B3">
        <w:rPr>
          <w:rFonts w:ascii="Footlight MT Light" w:eastAsia="Calibri" w:hAnsi="Footlight MT Light" w:cs="Times New Roman"/>
          <w:b/>
          <w:sz w:val="32"/>
          <w:szCs w:val="32"/>
        </w:rPr>
        <w:t xml:space="preserve"> </w:t>
      </w:r>
      <w:r w:rsidR="0052226B" w:rsidRPr="00F958B3">
        <w:rPr>
          <w:rFonts w:ascii="Footlight MT Light" w:eastAsia="Calibri" w:hAnsi="Footlight MT Light" w:cs="Times New Roman"/>
          <w:b/>
          <w:sz w:val="32"/>
          <w:szCs w:val="32"/>
        </w:rPr>
        <w:t>Coalition (</w:t>
      </w:r>
      <w:r w:rsidR="00D85FD7" w:rsidRPr="00F958B3">
        <w:rPr>
          <w:rFonts w:ascii="Footlight MT Light" w:eastAsia="Calibri" w:hAnsi="Footlight MT Light" w:cs="Times New Roman"/>
          <w:b/>
          <w:sz w:val="32"/>
          <w:szCs w:val="32"/>
        </w:rPr>
        <w:t>Region</w:t>
      </w:r>
      <w:r w:rsidR="00DD7B55" w:rsidRPr="00F958B3">
        <w:rPr>
          <w:rFonts w:ascii="Footlight MT Light" w:eastAsia="Calibri" w:hAnsi="Footlight MT Light" w:cs="Times New Roman"/>
          <w:b/>
          <w:sz w:val="32"/>
          <w:szCs w:val="32"/>
        </w:rPr>
        <w:t xml:space="preserve"> B)</w:t>
      </w:r>
    </w:p>
    <w:p w14:paraId="21A2D949" w14:textId="55D1A82D" w:rsidR="00F57D35" w:rsidRPr="00F958B3" w:rsidRDefault="00F57D35" w:rsidP="00F57D35">
      <w:pPr>
        <w:spacing w:after="0" w:line="240" w:lineRule="auto"/>
        <w:rPr>
          <w:rFonts w:ascii="Footlight MT Light" w:eastAsia="Calibri" w:hAnsi="Footlight MT Light" w:cs="Times New Roman"/>
          <w:b/>
          <w:sz w:val="32"/>
          <w:szCs w:val="32"/>
        </w:rPr>
      </w:pPr>
      <w:r w:rsidRPr="00F958B3">
        <w:rPr>
          <w:rFonts w:ascii="Footlight MT Light" w:eastAsia="Calibri" w:hAnsi="Footlight MT Light" w:cs="Times New Roman"/>
          <w:b/>
          <w:sz w:val="32"/>
          <w:szCs w:val="32"/>
          <w:u w:val="single"/>
        </w:rPr>
        <w:t>When:</w:t>
      </w:r>
      <w:r w:rsidRPr="00F958B3">
        <w:rPr>
          <w:rFonts w:ascii="Footlight MT Light" w:eastAsia="Calibri" w:hAnsi="Footlight MT Light" w:cs="Times New Roman"/>
          <w:b/>
          <w:sz w:val="32"/>
          <w:szCs w:val="32"/>
        </w:rPr>
        <w:t xml:space="preserve"> </w:t>
      </w:r>
      <w:r w:rsidR="002B010A">
        <w:rPr>
          <w:rFonts w:ascii="Footlight MT Light" w:eastAsia="Calibri" w:hAnsi="Footlight MT Light" w:cs="Times New Roman"/>
          <w:b/>
          <w:sz w:val="32"/>
          <w:szCs w:val="32"/>
        </w:rPr>
        <w:t>Wednesday April 7, 2021 10:00 am – 12:00 pm</w:t>
      </w:r>
    </w:p>
    <w:p w14:paraId="648C8A59" w14:textId="20527387" w:rsidR="006D25A9" w:rsidRPr="00F958B3" w:rsidRDefault="00F57D35" w:rsidP="006D25A9">
      <w:pPr>
        <w:pStyle w:val="NormalWeb"/>
        <w:rPr>
          <w:rFonts w:ascii="Footlight MT Light" w:hAnsi="Footlight MT Light" w:cs="DaunPenh"/>
          <w:b/>
          <w:sz w:val="32"/>
          <w:szCs w:val="32"/>
        </w:rPr>
      </w:pPr>
      <w:r w:rsidRPr="00F958B3">
        <w:rPr>
          <w:rFonts w:ascii="Footlight MT Light" w:eastAsia="Calibri" w:hAnsi="Footlight MT Light" w:cs="Times New Roman"/>
          <w:b/>
          <w:sz w:val="32"/>
          <w:szCs w:val="32"/>
          <w:u w:val="single"/>
        </w:rPr>
        <w:t>Where:</w:t>
      </w:r>
      <w:r w:rsidRPr="00F958B3">
        <w:rPr>
          <w:rFonts w:ascii="Footlight MT Light" w:eastAsia="Calibri" w:hAnsi="Footlight MT Light" w:cs="Times New Roman"/>
          <w:b/>
          <w:sz w:val="32"/>
          <w:szCs w:val="32"/>
        </w:rPr>
        <w:t xml:space="preserve"> </w:t>
      </w:r>
      <w:r w:rsidR="002B010A">
        <w:rPr>
          <w:rFonts w:ascii="Footlight MT Light" w:hAnsi="Footlight MT Light" w:cs="DaunPenh"/>
          <w:b/>
          <w:sz w:val="32"/>
          <w:szCs w:val="32"/>
        </w:rPr>
        <w:t>Virtual through WebEx</w:t>
      </w:r>
    </w:p>
    <w:p w14:paraId="5212B0CD" w14:textId="77777777" w:rsidR="00AC1034" w:rsidRPr="006D25A9" w:rsidRDefault="00AC1034" w:rsidP="00AC1034">
      <w:pPr>
        <w:spacing w:after="0" w:line="240" w:lineRule="auto"/>
        <w:rPr>
          <w:rFonts w:ascii="DaunPenh" w:hAnsi="DaunPenh" w:cs="DaunPenh"/>
          <w:sz w:val="32"/>
          <w:szCs w:val="32"/>
        </w:rPr>
      </w:pPr>
    </w:p>
    <w:p w14:paraId="055D2A27" w14:textId="06AC27F1" w:rsidR="006E029B" w:rsidRPr="00D645F2" w:rsidRDefault="002B010A" w:rsidP="006E029B">
      <w:pPr>
        <w:spacing w:after="0" w:line="240" w:lineRule="auto"/>
        <w:rPr>
          <w:b/>
          <w:sz w:val="28"/>
          <w:szCs w:val="28"/>
        </w:rPr>
      </w:pPr>
      <w:r>
        <w:rPr>
          <w:rFonts w:ascii="Footlight MT Light" w:eastAsia="Calibri" w:hAnsi="Footlight MT Light" w:cs="Times New Roman"/>
          <w:b/>
          <w:sz w:val="28"/>
          <w:szCs w:val="28"/>
          <w14:textOutline w14:w="9525" w14:cap="rnd" w14:cmpd="sng" w14:algn="ctr">
            <w14:solidFill>
              <w14:srgbClr w14:val="000000">
                <w14:lumMod w14:val="65000"/>
                <w14:lumOff w14:val="35000"/>
              </w14:srgbClr>
            </w14:solidFill>
            <w14:prstDash w14:val="solid"/>
            <w14:bevel/>
          </w14:textOutline>
        </w:rPr>
        <w:t>Severe Weather</w:t>
      </w:r>
      <w:r w:rsidR="00EB677E">
        <w:rPr>
          <w:rFonts w:ascii="Footlight MT Light" w:eastAsia="Calibri" w:hAnsi="Footlight MT Light" w:cs="Times New Roman"/>
          <w:b/>
          <w:sz w:val="28"/>
          <w:szCs w:val="28"/>
          <w14:textOutline w14:w="9525" w14:cap="rnd" w14:cmpd="sng" w14:algn="ctr">
            <w14:solidFill>
              <w14:srgbClr w14:val="000000">
                <w14:lumMod w14:val="65000"/>
                <w14:lumOff w14:val="35000"/>
              </w14:srgbClr>
            </w14:solidFill>
            <w14:prstDash w14:val="solid"/>
            <w14:bevel/>
          </w14:textOutline>
        </w:rPr>
        <w:t xml:space="preserve"> </w:t>
      </w:r>
      <w:r w:rsidR="00F57D35" w:rsidRPr="00D645F2">
        <w:rPr>
          <w:rFonts w:ascii="Footlight MT Light" w:eastAsia="Calibri" w:hAnsi="Footlight MT Light" w:cs="Times New Roman"/>
          <w:b/>
          <w:sz w:val="28"/>
          <w:szCs w:val="28"/>
          <w14:textOutline w14:w="9525" w14:cap="rnd" w14:cmpd="sng" w14:algn="ctr">
            <w14:solidFill>
              <w14:srgbClr w14:val="000000">
                <w14:lumMod w14:val="65000"/>
                <w14:lumOff w14:val="35000"/>
              </w14:srgbClr>
            </w14:solidFill>
            <w14:prstDash w14:val="solid"/>
            <w14:bevel/>
          </w14:textOutline>
        </w:rPr>
        <w:t>Exercise Objectives:</w:t>
      </w:r>
    </w:p>
    <w:p w14:paraId="49AC1642" w14:textId="77777777" w:rsidR="002B010A" w:rsidRPr="002B010A" w:rsidRDefault="002B010A" w:rsidP="002B010A">
      <w:pPr>
        <w:numPr>
          <w:ilvl w:val="0"/>
          <w:numId w:val="5"/>
        </w:numPr>
        <w:spacing w:after="200" w:line="276" w:lineRule="auto"/>
        <w:ind w:left="630"/>
        <w:contextualSpacing/>
        <w:rPr>
          <w:rFonts w:ascii="Footlight MT Light" w:eastAsia="Calibri" w:hAnsi="Footlight MT Light" w:cs="Times New Roman"/>
          <w:sz w:val="28"/>
          <w:szCs w:val="28"/>
        </w:rPr>
      </w:pPr>
      <w:r w:rsidRPr="002B010A">
        <w:rPr>
          <w:rFonts w:ascii="Footlight MT Light" w:eastAsia="Calibri" w:hAnsi="Footlight MT Light" w:cs="Times New Roman"/>
          <w:sz w:val="28"/>
          <w:szCs w:val="28"/>
        </w:rPr>
        <w:t xml:space="preserve">Review regional and internal plans, policies, and procedures of Region B healthcare facilities and community partners needed to respond to a regional severe weather event; </w:t>
      </w:r>
    </w:p>
    <w:p w14:paraId="69DEAF73" w14:textId="77777777" w:rsidR="002B010A" w:rsidRPr="002B010A" w:rsidRDefault="002B010A" w:rsidP="002B010A">
      <w:pPr>
        <w:numPr>
          <w:ilvl w:val="0"/>
          <w:numId w:val="5"/>
        </w:numPr>
        <w:spacing w:after="200" w:line="276" w:lineRule="auto"/>
        <w:ind w:left="630"/>
        <w:contextualSpacing/>
        <w:rPr>
          <w:rFonts w:ascii="Footlight MT Light" w:eastAsia="Calibri" w:hAnsi="Footlight MT Light" w:cs="Times New Roman"/>
          <w:sz w:val="28"/>
          <w:szCs w:val="28"/>
        </w:rPr>
      </w:pPr>
      <w:r w:rsidRPr="002B010A">
        <w:rPr>
          <w:rFonts w:ascii="Footlight MT Light" w:eastAsia="Calibri" w:hAnsi="Footlight MT Light" w:cs="Times New Roman"/>
          <w:sz w:val="28"/>
          <w:szCs w:val="28"/>
        </w:rPr>
        <w:t>Review communications plans involving incident notification and ongoing situational awareness among area healthcare facilities, local governments, and regional partners;</w:t>
      </w:r>
    </w:p>
    <w:p w14:paraId="1EFDC7F0" w14:textId="77777777" w:rsidR="002B010A" w:rsidRPr="002B010A" w:rsidRDefault="002B010A" w:rsidP="002B010A">
      <w:pPr>
        <w:numPr>
          <w:ilvl w:val="0"/>
          <w:numId w:val="5"/>
        </w:numPr>
        <w:spacing w:after="200" w:line="276" w:lineRule="auto"/>
        <w:ind w:left="630"/>
        <w:contextualSpacing/>
        <w:rPr>
          <w:rFonts w:ascii="Footlight MT Light" w:eastAsia="Calibri" w:hAnsi="Footlight MT Light" w:cs="Times New Roman"/>
          <w:sz w:val="28"/>
          <w:szCs w:val="28"/>
        </w:rPr>
      </w:pPr>
      <w:r w:rsidRPr="002B010A">
        <w:rPr>
          <w:rFonts w:ascii="Footlight MT Light" w:eastAsia="Calibri" w:hAnsi="Footlight MT Light" w:cs="Times New Roman"/>
          <w:sz w:val="28"/>
          <w:szCs w:val="28"/>
        </w:rPr>
        <w:t>Review internal surge plans; and,</w:t>
      </w:r>
    </w:p>
    <w:p w14:paraId="08EC1104" w14:textId="77777777" w:rsidR="002B010A" w:rsidRPr="002B010A" w:rsidRDefault="002B010A" w:rsidP="002B010A">
      <w:pPr>
        <w:numPr>
          <w:ilvl w:val="0"/>
          <w:numId w:val="5"/>
        </w:numPr>
        <w:spacing w:after="200" w:line="276" w:lineRule="auto"/>
        <w:ind w:left="634"/>
        <w:rPr>
          <w:rFonts w:ascii="Footlight MT Light" w:eastAsia="Calibri" w:hAnsi="Footlight MT Light" w:cs="Times New Roman"/>
          <w:sz w:val="28"/>
          <w:szCs w:val="28"/>
        </w:rPr>
      </w:pPr>
      <w:r w:rsidRPr="002B010A">
        <w:rPr>
          <w:rFonts w:ascii="Footlight MT Light" w:eastAsia="Calibri" w:hAnsi="Footlight MT Light" w:cs="Times New Roman"/>
          <w:sz w:val="28"/>
          <w:szCs w:val="28"/>
        </w:rPr>
        <w:t>Review procedures for establishing command and control operations.</w:t>
      </w:r>
    </w:p>
    <w:p w14:paraId="231D1615" w14:textId="3425EF0F" w:rsidR="00EA17D2" w:rsidRDefault="00EA17D2" w:rsidP="00EA17D2">
      <w:pPr>
        <w:tabs>
          <w:tab w:val="left" w:pos="6682"/>
        </w:tabs>
        <w:spacing w:after="0" w:line="240" w:lineRule="auto"/>
        <w:ind w:left="360"/>
        <w:rPr>
          <w:rFonts w:ascii="Footlight MT Light" w:eastAsia="Calibri" w:hAnsi="Footlight MT Light" w:cs="Times New Roman"/>
          <w:b/>
          <w:color w:val="262626"/>
          <w:sz w:val="28"/>
          <w:szCs w:val="28"/>
        </w:rPr>
      </w:pPr>
      <w:r w:rsidRPr="00F958B3">
        <w:rPr>
          <w:rFonts w:ascii="Footlight MT Light" w:eastAsia="Calibri" w:hAnsi="Footlight MT Light" w:cs="Times New Roman"/>
          <w:b/>
          <w:color w:val="262626"/>
          <w:sz w:val="28"/>
          <w:szCs w:val="28"/>
        </w:rPr>
        <w:t>Use the link below to register:</w:t>
      </w:r>
    </w:p>
    <w:p w14:paraId="2E50E193" w14:textId="77777777" w:rsidR="00F958B3" w:rsidRPr="00F958B3" w:rsidRDefault="00F958B3" w:rsidP="00EA17D2">
      <w:pPr>
        <w:tabs>
          <w:tab w:val="left" w:pos="6682"/>
        </w:tabs>
        <w:spacing w:after="0" w:line="240" w:lineRule="auto"/>
        <w:ind w:left="360"/>
        <w:rPr>
          <w:rFonts w:ascii="Footlight MT Light" w:eastAsia="Calibri" w:hAnsi="Footlight MT Light" w:cs="Times New Roman"/>
          <w:b/>
          <w:color w:val="262626"/>
          <w:sz w:val="28"/>
          <w:szCs w:val="28"/>
        </w:rPr>
      </w:pPr>
    </w:p>
    <w:p w14:paraId="607DA5E5" w14:textId="3E2F6E7A" w:rsidR="00D85FD7" w:rsidRDefault="00F958B3" w:rsidP="00F958B3">
      <w:pPr>
        <w:pStyle w:val="Default"/>
        <w:spacing w:after="240"/>
        <w:rPr>
          <w:color w:val="1F497D"/>
        </w:rPr>
      </w:pPr>
      <w:r>
        <w:rPr>
          <w:color w:val="1F497D"/>
        </w:rPr>
        <w:t xml:space="preserve">     </w:t>
      </w:r>
      <w:hyperlink r:id="rId6" w:history="1">
        <w:r w:rsidR="002B010A" w:rsidRPr="00B33BDC">
          <w:rPr>
            <w:rStyle w:val="Hyperlink"/>
          </w:rPr>
          <w:t>https://www.surveymo</w:t>
        </w:r>
        <w:bookmarkStart w:id="0" w:name="_GoBack"/>
        <w:bookmarkEnd w:id="0"/>
        <w:r w:rsidR="002B010A" w:rsidRPr="00B33BDC">
          <w:rPr>
            <w:rStyle w:val="Hyperlink"/>
          </w:rPr>
          <w:t>n</w:t>
        </w:r>
        <w:r w:rsidR="002B010A" w:rsidRPr="00B33BDC">
          <w:rPr>
            <w:rStyle w:val="Hyperlink"/>
          </w:rPr>
          <w:t>key.com/r/4721ttx</w:t>
        </w:r>
      </w:hyperlink>
      <w:r w:rsidR="002B010A">
        <w:rPr>
          <w:color w:val="1F497D"/>
        </w:rPr>
        <w:t xml:space="preserve"> </w:t>
      </w:r>
    </w:p>
    <w:p w14:paraId="449E774E" w14:textId="77777777" w:rsidR="00AA4974" w:rsidRPr="00AA4974" w:rsidRDefault="00AA4974" w:rsidP="00AA4974">
      <w:pPr>
        <w:keepNext/>
        <w:keepLines/>
        <w:spacing w:before="200" w:after="0" w:line="276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bookmarkStart w:id="1" w:name="_Toc370479273"/>
      <w:bookmarkStart w:id="2" w:name="_Toc439873516"/>
      <w:r w:rsidRPr="00AA4974">
        <w:rPr>
          <w:rFonts w:ascii="Cambria" w:eastAsia="Times New Roman" w:hAnsi="Cambria" w:cs="Times New Roman"/>
          <w:b/>
          <w:bCs/>
          <w:sz w:val="26"/>
          <w:szCs w:val="26"/>
        </w:rPr>
        <w:t>Exercise Guidelines</w:t>
      </w:r>
      <w:bookmarkEnd w:id="1"/>
      <w:bookmarkEnd w:id="2"/>
    </w:p>
    <w:p w14:paraId="0E53C8B3" w14:textId="77777777" w:rsidR="00AA4974" w:rsidRPr="00AA4974" w:rsidRDefault="00AA4974" w:rsidP="00AA4974">
      <w:pPr>
        <w:numPr>
          <w:ilvl w:val="0"/>
          <w:numId w:val="6"/>
        </w:numPr>
        <w:spacing w:after="40" w:line="276" w:lineRule="auto"/>
        <w:rPr>
          <w:rFonts w:ascii="Footlight MT Light" w:eastAsia="Calibri" w:hAnsi="Footlight MT Light" w:cs="Times New Roman"/>
          <w:sz w:val="28"/>
          <w:szCs w:val="28"/>
        </w:rPr>
      </w:pPr>
      <w:r w:rsidRPr="00AA4974">
        <w:rPr>
          <w:rFonts w:ascii="Footlight MT Light" w:eastAsia="Calibri" w:hAnsi="Footlight MT Light" w:cs="Times New Roman"/>
          <w:sz w:val="28"/>
          <w:szCs w:val="28"/>
        </w:rPr>
        <w:t>This is an open, low-stress, no-fault environment.  Varying viewpoints, even disagreements, are expected.</w:t>
      </w:r>
    </w:p>
    <w:p w14:paraId="3F473AF1" w14:textId="77777777" w:rsidR="00AA4974" w:rsidRPr="00AA4974" w:rsidRDefault="00AA4974" w:rsidP="00AA4974">
      <w:pPr>
        <w:numPr>
          <w:ilvl w:val="0"/>
          <w:numId w:val="6"/>
        </w:numPr>
        <w:spacing w:after="40" w:line="276" w:lineRule="auto"/>
        <w:rPr>
          <w:rFonts w:ascii="Footlight MT Light" w:eastAsia="Calibri" w:hAnsi="Footlight MT Light" w:cs="Times New Roman"/>
          <w:sz w:val="28"/>
          <w:szCs w:val="28"/>
        </w:rPr>
      </w:pPr>
      <w:r w:rsidRPr="00AA4974">
        <w:rPr>
          <w:rFonts w:ascii="Footlight MT Light" w:eastAsia="Calibri" w:hAnsi="Footlight MT Light" w:cs="Times New Roman"/>
          <w:sz w:val="28"/>
          <w:szCs w:val="28"/>
        </w:rPr>
        <w:t>Respond based on your knowledge of current plans and capabilities (using only existing assets) and insights derived from training.</w:t>
      </w:r>
    </w:p>
    <w:p w14:paraId="2AAD0712" w14:textId="77777777" w:rsidR="00AA4974" w:rsidRPr="00AA4974" w:rsidRDefault="00AA4974" w:rsidP="00AA4974">
      <w:pPr>
        <w:numPr>
          <w:ilvl w:val="0"/>
          <w:numId w:val="6"/>
        </w:numPr>
        <w:spacing w:after="40" w:line="276" w:lineRule="auto"/>
        <w:rPr>
          <w:rFonts w:ascii="Footlight MT Light" w:eastAsia="Calibri" w:hAnsi="Footlight MT Light" w:cs="Times New Roman"/>
          <w:sz w:val="28"/>
          <w:szCs w:val="28"/>
        </w:rPr>
      </w:pPr>
      <w:r w:rsidRPr="00AA4974">
        <w:rPr>
          <w:rFonts w:ascii="Footlight MT Light" w:eastAsia="Calibri" w:hAnsi="Footlight MT Light" w:cs="Times New Roman"/>
          <w:sz w:val="28"/>
          <w:szCs w:val="28"/>
        </w:rPr>
        <w:t>Decisions are not precedent-setting and may not reflect your organization’s final position on a given issue.  This is an opportunity to discuss and present multiple options and possible solutions.</w:t>
      </w:r>
    </w:p>
    <w:p w14:paraId="4AF4F702" w14:textId="77777777" w:rsidR="00AA4974" w:rsidRPr="00AA4974" w:rsidRDefault="00AA4974" w:rsidP="00AA4974">
      <w:pPr>
        <w:numPr>
          <w:ilvl w:val="0"/>
          <w:numId w:val="6"/>
        </w:numPr>
        <w:spacing w:after="40" w:line="276" w:lineRule="auto"/>
        <w:rPr>
          <w:rFonts w:ascii="Footlight MT Light" w:eastAsia="Calibri" w:hAnsi="Footlight MT Light" w:cs="Times New Roman"/>
          <w:sz w:val="28"/>
          <w:szCs w:val="28"/>
        </w:rPr>
      </w:pPr>
      <w:r w:rsidRPr="00AA4974">
        <w:rPr>
          <w:rFonts w:ascii="Footlight MT Light" w:eastAsia="Calibri" w:hAnsi="Footlight MT Light" w:cs="Times New Roman"/>
          <w:sz w:val="28"/>
          <w:szCs w:val="28"/>
        </w:rPr>
        <w:t>Issue identification is not as valuable as suggestions and recommended actions that could improve response and preparedness efforts.  Problem-solving efforts should be the focus.</w:t>
      </w:r>
    </w:p>
    <w:p w14:paraId="3CAE0581" w14:textId="65D1B6DE" w:rsidR="00AA4974" w:rsidRPr="00DC4AA3" w:rsidRDefault="00AA4974" w:rsidP="004A4A06">
      <w:pPr>
        <w:numPr>
          <w:ilvl w:val="0"/>
          <w:numId w:val="6"/>
        </w:numPr>
        <w:spacing w:after="240" w:line="276" w:lineRule="auto"/>
        <w:rPr>
          <w:color w:val="1F497D"/>
        </w:rPr>
      </w:pPr>
      <w:r w:rsidRPr="00DC4AA3">
        <w:rPr>
          <w:rFonts w:ascii="Footlight MT Light" w:eastAsia="Calibri" w:hAnsi="Footlight MT Light" w:cs="Times New Roman"/>
          <w:sz w:val="28"/>
          <w:szCs w:val="28"/>
        </w:rPr>
        <w:t>Healthcare facilities should us</w:t>
      </w:r>
      <w:r w:rsidR="00DC4AA3" w:rsidRPr="00DC4AA3">
        <w:rPr>
          <w:rFonts w:ascii="Footlight MT Light" w:eastAsia="Calibri" w:hAnsi="Footlight MT Light" w:cs="Times New Roman"/>
          <w:sz w:val="28"/>
          <w:szCs w:val="28"/>
        </w:rPr>
        <w:t>e</w:t>
      </w:r>
      <w:r w:rsidRPr="00DC4AA3">
        <w:rPr>
          <w:rFonts w:ascii="Footlight MT Light" w:eastAsia="Calibri" w:hAnsi="Footlight MT Light" w:cs="Times New Roman"/>
          <w:sz w:val="28"/>
          <w:szCs w:val="28"/>
        </w:rPr>
        <w:t xml:space="preserve"> the exercise day's actual patient/resident census to the tabletop exercise for use during discussions.</w:t>
      </w:r>
    </w:p>
    <w:p w14:paraId="1375CB4B" w14:textId="068956AF" w:rsidR="00AA4974" w:rsidRPr="00F57D35" w:rsidRDefault="00AA4974" w:rsidP="00F958B3">
      <w:pPr>
        <w:pStyle w:val="Default"/>
        <w:spacing w:after="240"/>
        <w:rPr>
          <w:rFonts w:ascii="Footlight MT Light" w:eastAsia="Calibri" w:hAnsi="Footlight MT Light" w:cs="Times New Roman"/>
          <w:b/>
          <w:i/>
          <w:color w:val="262626"/>
        </w:rPr>
      </w:pPr>
    </w:p>
    <w:sectPr w:rsidR="00AA4974" w:rsidRPr="00F57D35" w:rsidSect="00D119C9">
      <w:pgSz w:w="12240" w:h="15840"/>
      <w:pgMar w:top="720" w:right="720" w:bottom="720" w:left="720" w:header="720" w:footer="720" w:gutter="0"/>
      <w:pgBorders w:offsetFrom="page">
        <w:top w:val="thinThickThinMediumGap" w:sz="24" w:space="24" w:color="2E74B5" w:themeColor="accent5" w:themeShade="BF"/>
        <w:left w:val="thinThickThinMediumGap" w:sz="24" w:space="24" w:color="2E74B5" w:themeColor="accent5" w:themeShade="BF"/>
        <w:bottom w:val="thinThickThinMediumGap" w:sz="24" w:space="24" w:color="2E74B5" w:themeColor="accent5" w:themeShade="BF"/>
        <w:right w:val="thinThickThinMediumGap" w:sz="24" w:space="24" w:color="2E74B5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52C5BA"/>
    <w:multiLevelType w:val="hybridMultilevel"/>
    <w:tmpl w:val="0A1636A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FF3262"/>
    <w:multiLevelType w:val="hybridMultilevel"/>
    <w:tmpl w:val="661E626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F13AF1"/>
    <w:multiLevelType w:val="hybridMultilevel"/>
    <w:tmpl w:val="E98A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F13E2"/>
    <w:multiLevelType w:val="hybridMultilevel"/>
    <w:tmpl w:val="0B7C0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82BD6"/>
    <w:multiLevelType w:val="hybridMultilevel"/>
    <w:tmpl w:val="DC6001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C09C3"/>
    <w:multiLevelType w:val="hybridMultilevel"/>
    <w:tmpl w:val="52223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35"/>
    <w:rsid w:val="000E3D7B"/>
    <w:rsid w:val="0017713E"/>
    <w:rsid w:val="001B69D9"/>
    <w:rsid w:val="00223C5C"/>
    <w:rsid w:val="002B010A"/>
    <w:rsid w:val="0052226B"/>
    <w:rsid w:val="006D25A9"/>
    <w:rsid w:val="006E029B"/>
    <w:rsid w:val="00704ECB"/>
    <w:rsid w:val="00936A11"/>
    <w:rsid w:val="00AA4974"/>
    <w:rsid w:val="00AC1034"/>
    <w:rsid w:val="00B4554C"/>
    <w:rsid w:val="00C453F7"/>
    <w:rsid w:val="00D119C9"/>
    <w:rsid w:val="00D645F2"/>
    <w:rsid w:val="00D85FD7"/>
    <w:rsid w:val="00D869BA"/>
    <w:rsid w:val="00DC4AA3"/>
    <w:rsid w:val="00DD7B55"/>
    <w:rsid w:val="00EA17D2"/>
    <w:rsid w:val="00EB677E"/>
    <w:rsid w:val="00F57D35"/>
    <w:rsid w:val="00F958B3"/>
    <w:rsid w:val="00FC3D83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F9A3"/>
  <w15:chartTrackingRefBased/>
  <w15:docId w15:val="{C38949BC-496D-4CC3-8846-3FC8ED49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02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7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25A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D25A9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958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4721tt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Braxton, Charles</dc:creator>
  <cp:keywords/>
  <dc:description/>
  <cp:lastModifiedBy>Campbell, DonnaSue</cp:lastModifiedBy>
  <cp:revision>2</cp:revision>
  <dcterms:created xsi:type="dcterms:W3CDTF">2021-03-01T14:16:00Z</dcterms:created>
  <dcterms:modified xsi:type="dcterms:W3CDTF">2021-03-01T14:16:00Z</dcterms:modified>
</cp:coreProperties>
</file>